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232ECB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232ECB">
        <w:rPr>
          <w:rFonts w:ascii="Times New Roman" w:eastAsia="Calibri" w:hAnsi="Times New Roman" w:cs="Times New Roman"/>
          <w:sz w:val="40"/>
          <w:szCs w:val="40"/>
        </w:rPr>
        <w:t>7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3EBE">
        <w:rPr>
          <w:rFonts w:ascii="Times New Roman" w:eastAsia="Calibri" w:hAnsi="Times New Roman" w:cs="Times New Roman"/>
          <w:sz w:val="40"/>
          <w:szCs w:val="40"/>
          <w:lang w:val="en-US"/>
        </w:rPr>
        <w:t>0</w:t>
      </w:r>
      <w:r w:rsidR="00232ECB">
        <w:rPr>
          <w:rFonts w:ascii="Times New Roman" w:eastAsia="Calibri" w:hAnsi="Times New Roman" w:cs="Times New Roman"/>
          <w:sz w:val="40"/>
          <w:szCs w:val="40"/>
        </w:rPr>
        <w:t>4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232ECB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73121">
        <w:rPr>
          <w:rFonts w:ascii="Times New Roman" w:eastAsia="Calibri" w:hAnsi="Times New Roman" w:cs="Times New Roman"/>
          <w:sz w:val="24"/>
          <w:szCs w:val="24"/>
        </w:rPr>
        <w:t>04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73121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>
        <w:rPr>
          <w:rFonts w:ascii="Times New Roman" w:eastAsia="Calibri" w:hAnsi="Times New Roman" w:cs="Times New Roman"/>
          <w:sz w:val="24"/>
          <w:szCs w:val="24"/>
        </w:rPr>
        <w:t>1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03EBE" w:rsidRPr="002F18FB" w:rsidTr="00FA6B74">
        <w:tc>
          <w:tcPr>
            <w:tcW w:w="5387" w:type="dxa"/>
          </w:tcPr>
          <w:p w:rsidR="00403EBE" w:rsidRPr="00403EB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1E2B21" w:rsidRPr="002F18FB" w:rsidTr="00FA6B74">
        <w:tc>
          <w:tcPr>
            <w:tcW w:w="5387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Добър ден, колеги, добре дошли на днешното заседание на ОИК Бяла Слатина. </w:t>
      </w:r>
      <w:r w:rsidR="00403EBE">
        <w:rPr>
          <w:rFonts w:ascii="Times New Roman" w:eastAsia="Calibri" w:hAnsi="Times New Roman" w:cs="Times New Roman"/>
          <w:sz w:val="24"/>
          <w:szCs w:val="24"/>
        </w:rPr>
        <w:t>Всички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 присъстват, имаме кворум, значи можем да проведем заседанието си. Представям Ви проекта за дневен ред.</w:t>
      </w:r>
    </w:p>
    <w:p w:rsidR="00B73121" w:rsidRPr="00B73121" w:rsidRDefault="00B73121" w:rsidP="00B7312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B73121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73121">
        <w:rPr>
          <w:rFonts w:ascii="Times New Roman" w:hAnsi="Times New Roman" w:cs="Times New Roman"/>
          <w:sz w:val="24"/>
          <w:szCs w:val="24"/>
          <w:lang w:eastAsia="bg-BG"/>
        </w:rPr>
        <w:t>, предложени от Инициативен комитет за издигане на Светлана Караджова;</w:t>
      </w:r>
    </w:p>
    <w:p w:rsidR="00B73121" w:rsidRPr="00B73121" w:rsidRDefault="00B73121" w:rsidP="00B73121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избирателни секции, които следва да се образуват на територията на община Бяла Слатина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15864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B73121" w:rsidRDefault="00372E91" w:rsidP="00B7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121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  <w:r w:rsidR="00B73121"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„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за изборите за кмет на кметство Бърдарски геран, подписано от Петя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Бобойчева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в качеството й на представляващ инициативен комитет за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издигане на Светлана Караджова като кандидат за кмет на кметство Бърдарски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геран. Заявлението е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№1/01.10.2015 г., 10.30ч. Към заявлението са приложени списък на хартиен носител и такъв на електронен носител. Направена е проверка по отношение на предложеното за застъпник лице и е установено, че отговаря на изискванията за регистрация на застъпник. </w:t>
      </w:r>
    </w:p>
    <w:p w:rsidR="00B73121" w:rsidRPr="00B73121" w:rsidRDefault="00B73121" w:rsidP="00B73121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121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B73121" w:rsidRPr="00B73121" w:rsidRDefault="00B73121" w:rsidP="00B73121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731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B73121" w:rsidRPr="00B73121" w:rsidRDefault="00B73121" w:rsidP="00B7312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Михаела Иванова Живкова с ЕГН </w:t>
      </w:r>
      <w:r w:rsidR="00B2665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застъпник на кандидатската листа на Светлана Иванова Караджова – независим кандидат за кмет на кметство Бърдарски геран, издигната от Инициативен комитет, в изборите за общински </w:t>
      </w:r>
      <w:proofErr w:type="spellStart"/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</w:t>
      </w:r>
    </w:p>
    <w:p w:rsidR="00B73121" w:rsidRPr="00B73121" w:rsidRDefault="00B73121" w:rsidP="00B73121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73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На регистрирания застъпник се издава удостоверение.</w:t>
      </w:r>
    </w:p>
    <w:p w:rsidR="00B73121" w:rsidRPr="00B73121" w:rsidRDefault="00B73121" w:rsidP="00B73121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73121">
        <w:rPr>
          <w:i/>
        </w:rPr>
        <w:t>Решението може да се обжалва по реда на чл. 88, ал. 1 пред ЦИК в срок до три дни от обявяването.</w:t>
      </w:r>
      <w:r>
        <w:rPr>
          <w:i/>
        </w:rPr>
        <w:t>“</w:t>
      </w:r>
    </w:p>
    <w:p w:rsidR="00B73121" w:rsidRDefault="00B731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1E2B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978E7" w:rsidRPr="002F18FB" w:rsidTr="000235F0">
        <w:tc>
          <w:tcPr>
            <w:tcW w:w="56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978E7" w:rsidRPr="0057374D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6978E7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375521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978E7" w:rsidRPr="002F18FB" w:rsidRDefault="006978E7" w:rsidP="00023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978E7" w:rsidRPr="00C15864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978E7">
        <w:rPr>
          <w:rFonts w:ascii="Times New Roman" w:eastAsia="Calibri" w:hAnsi="Times New Roman" w:cs="Times New Roman"/>
          <w:sz w:val="24"/>
          <w:szCs w:val="24"/>
        </w:rPr>
        <w:t>11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След подробно разглеждане на картата на община Бяла Слатина и предложени няколко варианти за обединяване на няколко села в една ПСИК, спазвайки разпоредбата на чл.90 от ИК, и съобразявайки се с броя на подадените заявления за гласуване с подвижна избирателна кутия от всяка населено място, Председателят на комисията предложи следния проект за решение:</w:t>
      </w:r>
      <w:r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„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уведомление от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Кмет на Община Бяла Слатина за броя на подадените заявления за гласуване с подвижна избирателна кутия, подадени в населените места от община Бяла Слатина до 04.10.2015 г. /краен срок/. Във уведомлението в табличен вид са представени броя на заявленията, за всяко отделно населено място, като са структурирани отделно за изборите за общински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и за национален референдум.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След като се запозна с представената информация, отчитайки разпоредбите на чл.90 от ИК, Решение №2462-МИ/НР от 02.10.2015 г. на ЦИК, разположението на населените места и отдалечеността им едно от друго и отчитайки факта, че когато има образувана подвижна избирателна секция, гражданите с трайни увреждания имат право да подават заявления за гласуване с подвижната кутия до 19.10.2015г. и предстоящите на 06.10.2015 г. консултации при Кмета на Община Бяла Слатина за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назначаване на ПСИК и на основание чл.87, ал.1, т.1 и чл.88, ал.1 от ИК, Общинска избирателна комисия Бяла Слатина</w:t>
      </w:r>
    </w:p>
    <w:p w:rsidR="00B73121" w:rsidRPr="00B73121" w:rsidRDefault="00B73121" w:rsidP="00B731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>1.Определя 3 /три/ броя подвижни секционни избирателни комисии на територията на община Бяла Слатина, които да обслужват населените места както следва: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- гр.Бяла Слатина, кметство Соколаре, кметство Комарево, кметство Буковец, кметство Тлачене;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- кметство Търнак, кметство Търнава, кметство Алтимир, кметство Галиче;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- Кметство Бърдарски геран, кметство Попица, кметство Бъркачево, кметство Враняк, кметство Габаре, кметство Драшан.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>2.</w:t>
      </w:r>
      <w:r w:rsidRPr="00B73121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 Утвърждава следното разпределение и преразпределение на местата в ПСИК, съобразно методиката, изписана в Решение № 1984-МИ/НР от 08.09.2015 г. на ЦИК и определените съгласно Решение №18/10.09.2015 г. на ОИК Бяла Слатина броя на членове на ПСИК: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Следвайки формулата в методика, тези 15 члена се разпределят както следва: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а/ за партия ГЕРБ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>8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3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=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15*83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1245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5,2978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              235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б/ БСП лява България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39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15*39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585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2,4893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235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в/ ДПС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36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15*36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540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2,2978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235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г/ Реформаторски блок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23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15*23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345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1,4680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235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д/ Патриотичен фронт – НФСБ и ВМРО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18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15*18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270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1,1489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235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е/ България без цензура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14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15*14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210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0,8936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235 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ж/ Атака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11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15*11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165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0,7021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     235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з/ АБВ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y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х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11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=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15*11 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=   </w:t>
      </w:r>
      <w:r w:rsidRPr="00B7312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165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= 0,7021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        235 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         </w:t>
      </w:r>
      <w:proofErr w:type="spellStart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235</w:t>
      </w:r>
      <w:proofErr w:type="spellEnd"/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При така направените изчисления се разпределят следните места: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а) за партия ГЕРБ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5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б) за коалиция БСП лява България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2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в) за партия ДПС –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2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г) за коалиция Реформаторски блок –    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д) за коалиция Патриотичен фронт – НФСБ и ВМРО – 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–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ж) за партия Атака –    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з) за коалиция АБВ –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Разпределени са 11 места, остават за разпределение 4 места. Съгласно методиката останалите места се преразпределят по реда на остатъците след целите числа, като се тръгва от най-големия остатък към  най-малкия.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България без цензура –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партия АТАКА –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АБВ –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БСП лява България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След преразпределението се получават следните бройки.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а) за партия ГЕРБ –  5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б) за коалиция БСП лява България –   3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в) за партия ДПС –  2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г) за коалиция Реформаторски блок –  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д) за коалиция Патриотичен фронт – НФСБ и ВМРО – 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– 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ж) за партия Атака – 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з) за коалиция АБВ –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Разпределение на ръководни длъжности в СИК – 9 броя: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Съгласно Методиката на ЦИК, ръководните длъжности се разпределят по следните формули.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а) за партия ГЕРБ -   33.33% (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n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x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)  = 33.33% * 9 = 2,9997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б) за коалиция БСП лява България - 17.11%  (n x 3) = 17.11% * 9 = 1,5399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в) за партия ДПС - 15.79%  (n x 3) = 15.79% * 9 = 1,4211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г) за коалиция Реформаторски блок - 10.09%  (n x 3) = 10.09% * 9 = 0,9081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д) за коалиция Патриотичен фронт–НФСБ и ВМРО-7.90%  (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n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x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) = 7.90%*9= 0,7110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  - 6.14%  (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n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x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) = 6.14% * 9 = 0,5526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ж) за партия Атака - 4.82%  (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n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B73121">
        <w:rPr>
          <w:rFonts w:ascii="Times New Roman" w:hAnsi="Times New Roman" w:cs="Times New Roman"/>
          <w:i/>
          <w:sz w:val="24"/>
          <w:szCs w:val="24"/>
          <w:lang w:val="en-US" w:eastAsia="bg-BG"/>
        </w:rPr>
        <w:t>x</w:t>
      </w:r>
      <w:r w:rsidRPr="00B73121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3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) = 4.82 % * 9 = 0,4338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з) за коалиция АБВ - 4.82%  (n x 3) = 4.82 % * 9 = 0,4338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Разпределени са 4 места, остават за разпределение 5 места.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а/ за партия ГЕРБ - 2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б/ за коалиция БСП лява България 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в/ за партия ДПС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г/за коалиция Реформаторски блок - 0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д/ за коалиция Патриотичен фронт –НФСБ и ВМРО – 0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     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е/ за коалиция България без цензура   - 0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ж/ за партия Атака - 0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з/ за коалиция АБВ –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Неразпределените места се разпределят по метода на най-големия остатък: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партия ГЕРБ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Реформаторски блок 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Патриотичен фронт –НФСБ и ВМРО –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България без цензура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за коалиция БСП лява България 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След това преразпределение се получават следните бройки ръководни длъжности: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а/ за партия ГЕРБ – 3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б/ за коалиция БСП лява България  - 2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в/ за партия ДПС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г/ за коалиция Реформаторски блок 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д/ за коалиция Патриотичен фронт–НФСБ и ВМРО – 1</w:t>
      </w: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     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е/ за коалиция България без цензура   - 1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ж/ за партия Атака - 0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з/ за коалиция АБВ - 0</w:t>
      </w: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Pr="00B73121" w:rsidRDefault="00B73121" w:rsidP="00B731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ab/>
        <w:t>Препис от решението да се изпрати на кмета на община Бяла Слатина.</w:t>
      </w:r>
    </w:p>
    <w:p w:rsidR="00B73121" w:rsidRPr="00B73121" w:rsidRDefault="00B73121" w:rsidP="00B73121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B73121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i/>
        </w:rPr>
        <w:t>“</w:t>
      </w:r>
    </w:p>
    <w:p w:rsidR="00B73121" w:rsidRDefault="00B73121" w:rsidP="00B73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B7312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B73121" w:rsidRDefault="00B73121" w:rsidP="00B731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73121" w:rsidRPr="002F18FB" w:rsidTr="00F2664D">
        <w:tc>
          <w:tcPr>
            <w:tcW w:w="567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73121" w:rsidRPr="00B01ED0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731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731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73121" w:rsidRPr="0057374D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73121" w:rsidRPr="00B01ED0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73121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731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B01ED0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B01ED0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3755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3755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3755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2F18FB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73121" w:rsidRPr="002F18FB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73121" w:rsidRPr="003755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3121" w:rsidRPr="002F18FB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121" w:rsidRPr="00375521" w:rsidTr="00F2664D">
        <w:tc>
          <w:tcPr>
            <w:tcW w:w="567" w:type="dxa"/>
          </w:tcPr>
          <w:p w:rsidR="00B73121" w:rsidRPr="00C06831" w:rsidRDefault="00B73121" w:rsidP="00F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73121" w:rsidRPr="002F18FB" w:rsidRDefault="00B73121" w:rsidP="00F266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73121" w:rsidRPr="00C15864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73121" w:rsidRPr="00375521" w:rsidRDefault="00B73121" w:rsidP="00F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73121" w:rsidRDefault="00B73121" w:rsidP="00B73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B73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16" w:rsidRDefault="00362B16" w:rsidP="006B4EB1">
      <w:pPr>
        <w:spacing w:after="0" w:line="240" w:lineRule="auto"/>
      </w:pPr>
      <w:r>
        <w:separator/>
      </w:r>
    </w:p>
  </w:endnote>
  <w:endnote w:type="continuationSeparator" w:id="0">
    <w:p w:rsidR="00362B16" w:rsidRDefault="00362B1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16" w:rsidRDefault="00362B16" w:rsidP="006B4EB1">
      <w:pPr>
        <w:spacing w:after="0" w:line="240" w:lineRule="auto"/>
      </w:pPr>
      <w:r>
        <w:separator/>
      </w:r>
    </w:p>
  </w:footnote>
  <w:footnote w:type="continuationSeparator" w:id="0">
    <w:p w:rsidR="00362B16" w:rsidRDefault="00362B1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32ECB"/>
    <w:rsid w:val="0027524F"/>
    <w:rsid w:val="002859A9"/>
    <w:rsid w:val="002B3036"/>
    <w:rsid w:val="002E419C"/>
    <w:rsid w:val="002F18FB"/>
    <w:rsid w:val="003071B9"/>
    <w:rsid w:val="0031447E"/>
    <w:rsid w:val="003176FC"/>
    <w:rsid w:val="00362B16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802FB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A206F3"/>
    <w:rsid w:val="00A30A24"/>
    <w:rsid w:val="00A343D0"/>
    <w:rsid w:val="00A42608"/>
    <w:rsid w:val="00A442F9"/>
    <w:rsid w:val="00A5129D"/>
    <w:rsid w:val="00A544BF"/>
    <w:rsid w:val="00A71BEA"/>
    <w:rsid w:val="00A75FB9"/>
    <w:rsid w:val="00AC1C11"/>
    <w:rsid w:val="00AC7E21"/>
    <w:rsid w:val="00B01ED0"/>
    <w:rsid w:val="00B26653"/>
    <w:rsid w:val="00B507DE"/>
    <w:rsid w:val="00B7236D"/>
    <w:rsid w:val="00B73121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9739BC"/>
    <w:rsid w:val="00A304D0"/>
    <w:rsid w:val="00A6615D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00BF-9DF7-497C-AF82-2BE448B3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3</cp:revision>
  <cp:lastPrinted>2015-10-06T08:57:00Z</cp:lastPrinted>
  <dcterms:created xsi:type="dcterms:W3CDTF">2015-10-06T08:57:00Z</dcterms:created>
  <dcterms:modified xsi:type="dcterms:W3CDTF">2015-10-06T08:57:00Z</dcterms:modified>
</cp:coreProperties>
</file>